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BC" w:rsidRDefault="00607BBC" w:rsidP="00607BBC">
      <w:pPr>
        <w:jc w:val="both"/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</w:pPr>
      <w:bookmarkStart w:id="0" w:name="_GoBack"/>
      <w:bookmarkEnd w:id="0"/>
    </w:p>
    <w:p w:rsidR="00607BBC" w:rsidRDefault="00607BBC" w:rsidP="00607BBC">
      <w:pPr>
        <w:jc w:val="both"/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</w:pPr>
    </w:p>
    <w:p w:rsidR="00607BBC" w:rsidRPr="00441A16" w:rsidRDefault="00607BBC" w:rsidP="00607BBC">
      <w:pPr>
        <w:jc w:val="both"/>
        <w:rPr>
          <w:rFonts w:eastAsia="Times New Roman" w:cstheme="minorHAnsi"/>
          <w:bCs/>
          <w:color w:val="000000"/>
          <w:sz w:val="30"/>
          <w:szCs w:val="30"/>
          <w:shd w:val="clear" w:color="auto" w:fill="FFFFFF"/>
          <w:lang w:eastAsia="fr-FR"/>
        </w:rPr>
      </w:pPr>
      <w:r w:rsidRPr="00CB01C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>Les </w:t>
      </w:r>
      <w:r w:rsidRPr="00441A16">
        <w:rPr>
          <w:rFonts w:eastAsia="Times New Roman" w:cstheme="minorHAnsi"/>
          <w:b/>
          <w:bCs/>
          <w:color w:val="000000"/>
          <w:sz w:val="30"/>
          <w:szCs w:val="30"/>
          <w:shd w:val="clear" w:color="auto" w:fill="FFFFFF"/>
          <w:lang w:eastAsia="fr-FR"/>
        </w:rPr>
        <w:t>réfugiés ukrainiens </w:t>
      </w:r>
      <w:r w:rsidRPr="00CB01C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 xml:space="preserve">arrivés récemment </w:t>
      </w:r>
      <w:r w:rsidRPr="00441A1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>sur Arras</w:t>
      </w:r>
      <w:r w:rsidRPr="00CB01C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 xml:space="preserve"> bénéficient d’un </w:t>
      </w:r>
      <w:r w:rsidRPr="00441A16">
        <w:rPr>
          <w:rFonts w:eastAsia="Times New Roman" w:cstheme="minorHAnsi"/>
          <w:b/>
          <w:bCs/>
          <w:color w:val="000000"/>
          <w:sz w:val="30"/>
          <w:szCs w:val="30"/>
          <w:shd w:val="clear" w:color="auto" w:fill="FFFFFF"/>
          <w:lang w:eastAsia="fr-FR"/>
        </w:rPr>
        <w:t>statut de « protection temporaire »</w:t>
      </w:r>
      <w:r w:rsidRPr="00CB01C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>. Il leur permet de bénéficier de la prise en charge de leurs </w:t>
      </w:r>
      <w:r w:rsidRPr="00441A16">
        <w:rPr>
          <w:rFonts w:eastAsia="Times New Roman" w:cstheme="minorHAnsi"/>
          <w:b/>
          <w:bCs/>
          <w:color w:val="000000"/>
          <w:sz w:val="30"/>
          <w:szCs w:val="30"/>
          <w:shd w:val="clear" w:color="auto" w:fill="FFFFFF"/>
          <w:lang w:eastAsia="fr-FR"/>
        </w:rPr>
        <w:t>frais de santé</w:t>
      </w:r>
      <w:r w:rsidRPr="00CB01C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>, dès leur arrivée sur le territoire Français, via l'accès à la </w:t>
      </w:r>
      <w:r w:rsidRPr="00441A16">
        <w:rPr>
          <w:rFonts w:eastAsia="Times New Roman" w:cstheme="minorHAnsi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Protection Universelle Maladie </w:t>
      </w:r>
      <w:r w:rsidRPr="00CB01C6">
        <w:rPr>
          <w:rFonts w:eastAsia="Times New Roman" w:cstheme="minorHAnsi"/>
          <w:color w:val="000000"/>
          <w:sz w:val="30"/>
          <w:szCs w:val="30"/>
          <w:shd w:val="clear" w:color="auto" w:fill="FFFFFF"/>
          <w:lang w:eastAsia="fr-FR"/>
        </w:rPr>
        <w:t>et à la </w:t>
      </w:r>
      <w:r w:rsidRPr="00441A16">
        <w:rPr>
          <w:rFonts w:eastAsia="Times New Roman" w:cstheme="minorHAnsi"/>
          <w:b/>
          <w:bCs/>
          <w:color w:val="000000"/>
          <w:sz w:val="30"/>
          <w:szCs w:val="30"/>
          <w:shd w:val="clear" w:color="auto" w:fill="FFFFFF"/>
          <w:lang w:eastAsia="fr-FR"/>
        </w:rPr>
        <w:t xml:space="preserve">Complémentaire Santé Solidaire. </w:t>
      </w:r>
      <w:r w:rsidRPr="00441A16">
        <w:rPr>
          <w:rFonts w:eastAsia="Times New Roman" w:cstheme="minorHAnsi"/>
          <w:bCs/>
          <w:color w:val="000000"/>
          <w:sz w:val="30"/>
          <w:szCs w:val="30"/>
          <w:shd w:val="clear" w:color="auto" w:fill="FFFFFF"/>
          <w:lang w:eastAsia="fr-FR"/>
        </w:rPr>
        <w:t xml:space="preserve">L’Agence Régionale de Santé, les URPS des Hauts de France, le SIAO 62, et l’association </w:t>
      </w:r>
      <w:proofErr w:type="spellStart"/>
      <w:r w:rsidRPr="00441A16">
        <w:rPr>
          <w:rFonts w:eastAsia="Times New Roman" w:cstheme="minorHAnsi"/>
          <w:bCs/>
          <w:color w:val="000000"/>
          <w:sz w:val="30"/>
          <w:szCs w:val="30"/>
          <w:shd w:val="clear" w:color="auto" w:fill="FFFFFF"/>
          <w:lang w:eastAsia="fr-FR"/>
        </w:rPr>
        <w:t>Audasse</w:t>
      </w:r>
      <w:proofErr w:type="spellEnd"/>
      <w:r w:rsidRPr="00441A16">
        <w:rPr>
          <w:rFonts w:eastAsia="Times New Roman" w:cstheme="minorHAnsi"/>
          <w:bCs/>
          <w:color w:val="000000"/>
          <w:sz w:val="30"/>
          <w:szCs w:val="30"/>
          <w:shd w:val="clear" w:color="auto" w:fill="FFFFFF"/>
          <w:lang w:eastAsia="fr-FR"/>
        </w:rPr>
        <w:t xml:space="preserve"> d’Arras, en lien avec la CPTS du Grand Arras, travaillent de concert pour permettre qu’un professionnel de santé puisse identifier les besoins et organiser un suivi le plus efficace possible. </w:t>
      </w:r>
    </w:p>
    <w:p w:rsidR="00607BBC" w:rsidRPr="001D1C9E" w:rsidRDefault="00607BBC" w:rsidP="00607BBC">
      <w:pPr>
        <w:shd w:val="clear" w:color="auto" w:fill="FFFFFF"/>
        <w:rPr>
          <w:rFonts w:eastAsia="Times New Roman" w:cstheme="minorHAnsi"/>
          <w:color w:val="222222"/>
          <w:lang w:eastAsia="fr-FR"/>
        </w:rPr>
      </w:pPr>
    </w:p>
    <w:p w:rsidR="00607BBC" w:rsidRPr="00441A16" w:rsidRDefault="00607BBC" w:rsidP="00607BBC">
      <w:pPr>
        <w:shd w:val="clear" w:color="auto" w:fill="FFFFFF"/>
        <w:rPr>
          <w:rFonts w:eastAsia="Times New Roman" w:cstheme="minorHAnsi"/>
          <w:color w:val="500050"/>
          <w:sz w:val="28"/>
          <w:szCs w:val="28"/>
          <w:lang w:eastAsia="fr-FR"/>
        </w:rPr>
      </w:pPr>
      <w:r w:rsidRPr="001D1C9E">
        <w:rPr>
          <w:rFonts w:eastAsia="Times New Roman" w:cstheme="minorHAnsi"/>
          <w:color w:val="222222"/>
          <w:sz w:val="28"/>
          <w:szCs w:val="28"/>
          <w:lang w:eastAsia="fr-FR"/>
        </w:rPr>
        <w:t>﻿</w:t>
      </w:r>
    </w:p>
    <w:p w:rsidR="00607BBC" w:rsidRPr="001D1C9E" w:rsidRDefault="00607BBC" w:rsidP="00607BBC">
      <w:pPr>
        <w:shd w:val="clear" w:color="auto" w:fill="FFFFFF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1D1C9E">
        <w:rPr>
          <w:rFonts w:eastAsia="Times New Roman" w:cstheme="minorHAnsi"/>
          <w:color w:val="000000" w:themeColor="text1"/>
          <w:sz w:val="32"/>
          <w:szCs w:val="32"/>
          <w:lang w:eastAsia="fr-FR"/>
        </w:rPr>
        <w:t>Dans le cadre de la prise en charge médicale des ressortissants ukrainiens, veuillez trouver ci-joint des documents que l’ARS nous a transmis à votre attention :</w:t>
      </w:r>
    </w:p>
    <w:p w:rsidR="00607BBC" w:rsidRPr="001D1C9E" w:rsidRDefault="00607BBC" w:rsidP="00607B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1D1C9E">
        <w:rPr>
          <w:rFonts w:eastAsia="Times New Roman" w:cstheme="minorHAnsi"/>
          <w:color w:val="000000" w:themeColor="text1"/>
          <w:sz w:val="32"/>
          <w:szCs w:val="32"/>
          <w:lang w:eastAsia="fr-FR"/>
        </w:rPr>
        <w:t>une fiche pratique à destination des médecins libéraux complétant le message envoyé le 12 mars (PJ1 et PJ2)</w:t>
      </w:r>
    </w:p>
    <w:p w:rsidR="00607BBC" w:rsidRPr="001D1C9E" w:rsidRDefault="00607BBC" w:rsidP="00607B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1D1C9E">
        <w:rPr>
          <w:rFonts w:eastAsia="Times New Roman" w:cstheme="minorHAnsi"/>
          <w:color w:val="000000" w:themeColor="text1"/>
          <w:sz w:val="32"/>
          <w:szCs w:val="32"/>
          <w:lang w:eastAsia="fr-FR"/>
        </w:rPr>
        <w:t>la liste des maladies à déclaration obligatoire avec lien pour téléchargement des fiches de déclaration (PJ3)</w:t>
      </w:r>
    </w:p>
    <w:p w:rsidR="00607BBC" w:rsidRPr="001D1C9E" w:rsidRDefault="00607BBC" w:rsidP="00607B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1D1C9E">
        <w:rPr>
          <w:rFonts w:eastAsia="Times New Roman" w:cstheme="minorHAnsi"/>
          <w:color w:val="000000" w:themeColor="text1"/>
          <w:sz w:val="32"/>
          <w:szCs w:val="32"/>
          <w:lang w:eastAsia="fr-FR"/>
        </w:rPr>
        <w:t>la liste des centres de vaccination pérennes de la région (PJ4)</w:t>
      </w:r>
    </w:p>
    <w:p w:rsidR="00607BBC" w:rsidRPr="001D1C9E" w:rsidRDefault="00607BBC" w:rsidP="00607B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1D1C9E">
        <w:rPr>
          <w:rFonts w:eastAsia="Times New Roman" w:cstheme="minorHAnsi"/>
          <w:color w:val="000000" w:themeColor="text1"/>
          <w:sz w:val="32"/>
          <w:szCs w:val="32"/>
          <w:lang w:eastAsia="fr-FR"/>
        </w:rPr>
        <w:t>une fiche reprenant les précautions d’hygiène standard (PJ5)</w:t>
      </w:r>
    </w:p>
    <w:p w:rsidR="00607BBC" w:rsidRPr="001D1C9E" w:rsidRDefault="00607BBC" w:rsidP="00607BBC">
      <w:pPr>
        <w:numPr>
          <w:ilvl w:val="0"/>
          <w:numId w:val="1"/>
        </w:numPr>
        <w:shd w:val="clear" w:color="auto" w:fill="FFFFFF"/>
        <w:spacing w:before="100" w:beforeAutospacing="1" w:afterAutospacing="1"/>
        <w:ind w:left="1440"/>
        <w:rPr>
          <w:rFonts w:eastAsia="Times New Roman" w:cstheme="minorHAnsi"/>
          <w:color w:val="000000" w:themeColor="text1"/>
          <w:sz w:val="32"/>
          <w:szCs w:val="32"/>
          <w:lang w:eastAsia="fr-FR"/>
        </w:rPr>
      </w:pPr>
      <w:r w:rsidRPr="001D1C9E">
        <w:rPr>
          <w:rFonts w:eastAsia="Times New Roman" w:cstheme="minorHAnsi"/>
          <w:color w:val="000000" w:themeColor="text1"/>
          <w:sz w:val="32"/>
          <w:szCs w:val="32"/>
          <w:lang w:eastAsia="fr-FR"/>
        </w:rPr>
        <w:t>les coordonnées du point focal régional de l’ARS pour l’envoi des DO (PJ6)</w:t>
      </w:r>
    </w:p>
    <w:p w:rsidR="00DA2C03" w:rsidRDefault="00DA2C03"/>
    <w:sectPr w:rsidR="00DA2C03" w:rsidSect="00DA2C03">
      <w:headerReference w:type="default" r:id="rId7"/>
      <w:foot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56" w:rsidRDefault="00B57756" w:rsidP="00DA2C03">
      <w:r>
        <w:separator/>
      </w:r>
    </w:p>
  </w:endnote>
  <w:endnote w:type="continuationSeparator" w:id="0">
    <w:p w:rsidR="00B57756" w:rsidRDefault="00B57756" w:rsidP="00DA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03" w:rsidRPr="00274C07" w:rsidRDefault="00DA2C03" w:rsidP="00DA2C03">
    <w:pPr>
      <w:jc w:val="center"/>
      <w:rPr>
        <w:rFonts w:ascii="Times New Roman" w:eastAsia="Times New Roman" w:hAnsi="Times New Roman" w:cs="Times New Roman"/>
        <w:color w:val="4472C4" w:themeColor="accent1"/>
        <w:lang w:eastAsia="fr-FR"/>
      </w:rPr>
    </w:pPr>
    <w:r w:rsidRPr="00274C07">
      <w:rPr>
        <w:rFonts w:ascii="Times New Roman" w:eastAsia="Times New Roman" w:hAnsi="Times New Roman" w:cs="Times New Roman"/>
        <w:b/>
        <w:bCs/>
        <w:color w:val="4472C4" w:themeColor="accent1"/>
        <w:lang w:eastAsia="fr-FR"/>
      </w:rPr>
      <w:t>CPTS du Grand Arras</w:t>
    </w:r>
  </w:p>
  <w:p w:rsidR="00DA2C03" w:rsidRPr="00274C07" w:rsidRDefault="00DA2C03" w:rsidP="00DA2C03">
    <w:pPr>
      <w:jc w:val="center"/>
      <w:rPr>
        <w:rFonts w:ascii="Times New Roman" w:eastAsia="Times New Roman" w:hAnsi="Times New Roman" w:cs="Times New Roman"/>
        <w:lang w:eastAsia="fr-FR"/>
      </w:rPr>
    </w:pPr>
    <w:r w:rsidRPr="00274C07">
      <w:rPr>
        <w:rFonts w:ascii="Times New Roman" w:eastAsia="Times New Roman" w:hAnsi="Times New Roman" w:cs="Times New Roman"/>
        <w:lang w:eastAsia="fr-FR"/>
      </w:rPr>
      <w:t>cptsdugrandarras@gmail.com</w:t>
    </w:r>
  </w:p>
  <w:p w:rsidR="00DA2C03" w:rsidRPr="00274C07" w:rsidRDefault="00DA2C03" w:rsidP="00DA2C03">
    <w:pPr>
      <w:jc w:val="center"/>
      <w:rPr>
        <w:rFonts w:ascii="Times New Roman" w:eastAsia="Times New Roman" w:hAnsi="Times New Roman" w:cs="Times New Roman"/>
        <w:lang w:eastAsia="fr-FR"/>
      </w:rPr>
    </w:pPr>
    <w:r w:rsidRPr="00274C07">
      <w:rPr>
        <w:rFonts w:ascii="Times New Roman" w:eastAsia="Times New Roman" w:hAnsi="Times New Roman" w:cs="Times New Roman"/>
        <w:lang w:eastAsia="fr-FR"/>
      </w:rPr>
      <w:t xml:space="preserve">61 rue de la République </w:t>
    </w:r>
    <w:r w:rsidRPr="00274C07">
      <w:rPr>
        <w:rFonts w:ascii="Times New Roman" w:eastAsia="Times New Roman" w:hAnsi="Times New Roman" w:cs="Times New Roman"/>
        <w:b/>
        <w:lang w:eastAsia="fr-FR"/>
      </w:rPr>
      <w:t xml:space="preserve">62217 </w:t>
    </w:r>
    <w:proofErr w:type="spellStart"/>
    <w:r w:rsidRPr="00274C07">
      <w:rPr>
        <w:rFonts w:ascii="Times New Roman" w:eastAsia="Times New Roman" w:hAnsi="Times New Roman" w:cs="Times New Roman"/>
        <w:b/>
        <w:lang w:eastAsia="fr-FR"/>
      </w:rPr>
      <w:t>Beaurains</w:t>
    </w:r>
    <w:proofErr w:type="spellEnd"/>
  </w:p>
  <w:p w:rsidR="00DA2C03" w:rsidRPr="00DA2C03" w:rsidRDefault="00DA2C03" w:rsidP="00DA2C03">
    <w:pPr>
      <w:jc w:val="center"/>
      <w:rPr>
        <w:rFonts w:ascii="Times New Roman" w:eastAsia="Times New Roman" w:hAnsi="Times New Roman" w:cs="Times New Roman"/>
        <w:lang w:eastAsia="fr-FR"/>
      </w:rPr>
    </w:pPr>
    <w:r w:rsidRPr="00ED09BD">
      <w:rPr>
        <w:rFonts w:ascii="Times New Roman" w:eastAsia="Times New Roman" w:hAnsi="Times New Roman" w:cs="Times New Roman"/>
        <w:lang w:eastAsia="fr-FR"/>
      </w:rPr>
      <w:t>Siret : 899 420 590 00015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56" w:rsidRDefault="00B57756" w:rsidP="00DA2C03">
      <w:r>
        <w:separator/>
      </w:r>
    </w:p>
  </w:footnote>
  <w:footnote w:type="continuationSeparator" w:id="0">
    <w:p w:rsidR="00B57756" w:rsidRDefault="00B57756" w:rsidP="00DA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03" w:rsidRPr="00607BBC" w:rsidRDefault="00DA2C03">
    <w:pPr>
      <w:pStyle w:val="En-tte"/>
      <w:rPr>
        <w:sz w:val="32"/>
        <w:szCs w:val="32"/>
      </w:rPr>
    </w:pPr>
    <w:r>
      <w:rPr>
        <w:noProof/>
      </w:rPr>
      <w:drawing>
        <wp:inline distT="0" distB="0" distL="0" distR="0" wp14:anchorId="38E89E8A" wp14:editId="4F16EF52">
          <wp:extent cx="1904215" cy="62862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PTS Arras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225" cy="65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2C03">
      <w:rPr>
        <w:b/>
        <w:sz w:val="28"/>
        <w:szCs w:val="28"/>
      </w:rPr>
      <w:t xml:space="preserve"> </w:t>
    </w:r>
    <w:r w:rsidRPr="00607BBC">
      <w:rPr>
        <w:b/>
        <w:sz w:val="32"/>
        <w:szCs w:val="32"/>
      </w:rPr>
      <w:t>P</w:t>
    </w:r>
    <w:r w:rsidR="00607BBC" w:rsidRPr="00607BBC">
      <w:rPr>
        <w:b/>
        <w:sz w:val="32"/>
        <w:szCs w:val="32"/>
      </w:rPr>
      <w:t>RISE EN CHARGE DES RESSORTISSANTS UKRAINIENS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5D57"/>
    <w:multiLevelType w:val="multilevel"/>
    <w:tmpl w:val="59E6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03"/>
    <w:rsid w:val="00607BBC"/>
    <w:rsid w:val="006E7713"/>
    <w:rsid w:val="00B57756"/>
    <w:rsid w:val="00DA2C03"/>
    <w:rsid w:val="00E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B84FA"/>
  <w15:chartTrackingRefBased/>
  <w15:docId w15:val="{E9CFC797-FEAB-0C4C-81C1-BC015036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C0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Policepardfaut"/>
    <w:rsid w:val="00DA2C03"/>
  </w:style>
  <w:style w:type="character" w:styleId="Lienhypertexte">
    <w:name w:val="Hyperlink"/>
    <w:basedOn w:val="Policepardfaut"/>
    <w:uiPriority w:val="99"/>
    <w:semiHidden/>
    <w:unhideWhenUsed/>
    <w:rsid w:val="00DA2C03"/>
    <w:rPr>
      <w:color w:val="0000FF"/>
      <w:u w:val="single"/>
    </w:rPr>
  </w:style>
  <w:style w:type="character" w:customStyle="1" w:styleId="lrzxr">
    <w:name w:val="lrzxr"/>
    <w:basedOn w:val="Policepardfaut"/>
    <w:rsid w:val="00DA2C03"/>
  </w:style>
  <w:style w:type="paragraph" w:styleId="En-tte">
    <w:name w:val="header"/>
    <w:basedOn w:val="Normal"/>
    <w:link w:val="En-tteCar"/>
    <w:uiPriority w:val="99"/>
    <w:unhideWhenUsed/>
    <w:rsid w:val="00DA2C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C0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DA2C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C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2022-03-21T09:06:00Z</dcterms:created>
  <dcterms:modified xsi:type="dcterms:W3CDTF">2022-03-21T09:06:00Z</dcterms:modified>
</cp:coreProperties>
</file>